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78" w:rsidRPr="004D14C1" w:rsidRDefault="001E4278">
      <w:pPr>
        <w:rPr>
          <w:sz w:val="32"/>
          <w:szCs w:val="32"/>
        </w:rPr>
      </w:pPr>
      <w:r w:rsidRPr="004D14C1">
        <w:rPr>
          <w:sz w:val="32"/>
          <w:szCs w:val="32"/>
        </w:rPr>
        <w:t>AMPLIACIONES FUTURAS</w:t>
      </w:r>
    </w:p>
    <w:p w:rsidR="001E4278" w:rsidRPr="004D14C1" w:rsidRDefault="001E4278">
      <w:pPr>
        <w:rPr>
          <w:sz w:val="32"/>
          <w:szCs w:val="32"/>
        </w:rPr>
      </w:pPr>
    </w:p>
    <w:p w:rsidR="001E4278" w:rsidRPr="004D14C1" w:rsidRDefault="001E4278">
      <w:pPr>
        <w:rPr>
          <w:sz w:val="32"/>
          <w:szCs w:val="32"/>
        </w:rPr>
      </w:pPr>
    </w:p>
    <w:p w:rsidR="001E4278" w:rsidRPr="004D14C1" w:rsidRDefault="003D4735">
      <w:pPr>
        <w:rPr>
          <w:b/>
          <w:sz w:val="32"/>
          <w:szCs w:val="32"/>
        </w:rPr>
      </w:pPr>
      <w:r w:rsidRPr="004D14C1">
        <w:rPr>
          <w:b/>
          <w:sz w:val="32"/>
          <w:szCs w:val="32"/>
        </w:rPr>
        <w:t>Apertu</w:t>
      </w:r>
      <w:r w:rsidR="00E075E9" w:rsidRPr="004D14C1">
        <w:rPr>
          <w:b/>
          <w:sz w:val="32"/>
          <w:szCs w:val="32"/>
        </w:rPr>
        <w:t>ra de negociaciones del ingreso de</w:t>
      </w:r>
      <w:r w:rsidRPr="004D14C1">
        <w:rPr>
          <w:b/>
          <w:sz w:val="32"/>
          <w:szCs w:val="32"/>
        </w:rPr>
        <w:t xml:space="preserve"> Croacia</w:t>
      </w:r>
      <w:r w:rsidR="00BC03E2" w:rsidRPr="004D14C1">
        <w:rPr>
          <w:b/>
          <w:sz w:val="32"/>
          <w:szCs w:val="32"/>
        </w:rPr>
        <w:t xml:space="preserve">: 3 de </w:t>
      </w:r>
      <w:r w:rsidR="000C0CEB" w:rsidRPr="004D14C1">
        <w:rPr>
          <w:b/>
          <w:sz w:val="32"/>
          <w:szCs w:val="32"/>
        </w:rPr>
        <w:t>octubre de</w:t>
      </w:r>
      <w:r w:rsidR="006E7DC8" w:rsidRPr="004D14C1">
        <w:rPr>
          <w:b/>
          <w:sz w:val="32"/>
          <w:szCs w:val="32"/>
        </w:rPr>
        <w:t xml:space="preserve">l </w:t>
      </w:r>
      <w:r w:rsidR="000C0CEB" w:rsidRPr="004D14C1">
        <w:rPr>
          <w:b/>
          <w:sz w:val="32"/>
          <w:szCs w:val="32"/>
        </w:rPr>
        <w:t xml:space="preserve"> 2005</w:t>
      </w:r>
    </w:p>
    <w:p w:rsidR="000C0CEB" w:rsidRPr="004D14C1" w:rsidRDefault="000C0CEB">
      <w:pPr>
        <w:rPr>
          <w:b/>
          <w:sz w:val="32"/>
          <w:szCs w:val="32"/>
        </w:rPr>
      </w:pPr>
    </w:p>
    <w:p w:rsidR="000C0CEB" w:rsidRPr="004D14C1" w:rsidRDefault="000C0CEB">
      <w:pPr>
        <w:rPr>
          <w:sz w:val="32"/>
          <w:szCs w:val="32"/>
        </w:rPr>
      </w:pPr>
      <w:r w:rsidRPr="004D14C1">
        <w:rPr>
          <w:sz w:val="32"/>
          <w:szCs w:val="32"/>
        </w:rPr>
        <w:t>El Consejo Eur</w:t>
      </w:r>
      <w:r w:rsidR="00E075E9" w:rsidRPr="004D14C1">
        <w:rPr>
          <w:sz w:val="32"/>
          <w:szCs w:val="32"/>
        </w:rPr>
        <w:t>opeo del 16 y 17 de diciembre del</w:t>
      </w:r>
      <w:r w:rsidR="006E7DC8" w:rsidRPr="004D14C1">
        <w:rPr>
          <w:sz w:val="32"/>
          <w:szCs w:val="32"/>
        </w:rPr>
        <w:t xml:space="preserve"> </w:t>
      </w:r>
      <w:r w:rsidRPr="004D14C1">
        <w:rPr>
          <w:sz w:val="32"/>
          <w:szCs w:val="32"/>
        </w:rPr>
        <w:t>2</w:t>
      </w:r>
      <w:r w:rsidR="00DE46EF" w:rsidRPr="004D14C1">
        <w:rPr>
          <w:sz w:val="32"/>
          <w:szCs w:val="32"/>
        </w:rPr>
        <w:t xml:space="preserve">004 aceptaba </w:t>
      </w:r>
      <w:r w:rsidR="00B95A46" w:rsidRPr="004D14C1">
        <w:rPr>
          <w:sz w:val="32"/>
          <w:szCs w:val="32"/>
        </w:rPr>
        <w:t>en principio comenzar</w:t>
      </w:r>
      <w:r w:rsidR="002154DF" w:rsidRPr="004D14C1">
        <w:rPr>
          <w:sz w:val="32"/>
          <w:szCs w:val="32"/>
        </w:rPr>
        <w:t xml:space="preserve"> </w:t>
      </w:r>
      <w:r w:rsidRPr="004D14C1">
        <w:rPr>
          <w:sz w:val="32"/>
          <w:szCs w:val="32"/>
        </w:rPr>
        <w:t>l</w:t>
      </w:r>
      <w:r w:rsidR="002154DF" w:rsidRPr="004D14C1">
        <w:rPr>
          <w:sz w:val="32"/>
          <w:szCs w:val="32"/>
        </w:rPr>
        <w:t>as negociaciones con</w:t>
      </w:r>
      <w:r w:rsidRPr="004D14C1">
        <w:rPr>
          <w:sz w:val="32"/>
          <w:szCs w:val="32"/>
        </w:rPr>
        <w:t xml:space="preserve"> Croacia</w:t>
      </w:r>
      <w:r w:rsidR="00584F9E" w:rsidRPr="004D14C1">
        <w:rPr>
          <w:sz w:val="32"/>
          <w:szCs w:val="32"/>
        </w:rPr>
        <w:t xml:space="preserve"> para su ingreso bajo</w:t>
      </w:r>
      <w:r w:rsidRPr="004D14C1">
        <w:rPr>
          <w:sz w:val="32"/>
          <w:szCs w:val="32"/>
        </w:rPr>
        <w:t xml:space="preserve"> la condi</w:t>
      </w:r>
      <w:r w:rsidR="00584F9E" w:rsidRPr="004D14C1">
        <w:rPr>
          <w:sz w:val="32"/>
          <w:szCs w:val="32"/>
        </w:rPr>
        <w:t xml:space="preserve">ción de que el </w:t>
      </w:r>
      <w:r w:rsidR="00C90955">
        <w:rPr>
          <w:sz w:val="32"/>
          <w:szCs w:val="32"/>
        </w:rPr>
        <w:t xml:space="preserve">país debía </w:t>
      </w:r>
      <w:r w:rsidR="00584F9E" w:rsidRPr="004D14C1">
        <w:rPr>
          <w:sz w:val="32"/>
          <w:szCs w:val="32"/>
        </w:rPr>
        <w:t xml:space="preserve"> primeramente</w:t>
      </w:r>
      <w:r w:rsidRPr="004D14C1">
        <w:rPr>
          <w:sz w:val="32"/>
          <w:szCs w:val="32"/>
        </w:rPr>
        <w:t xml:space="preserve"> colaborar comp</w:t>
      </w:r>
      <w:r w:rsidR="006353A4" w:rsidRPr="004D14C1">
        <w:rPr>
          <w:sz w:val="32"/>
          <w:szCs w:val="32"/>
        </w:rPr>
        <w:t>letamente con la Corte Penal Internacional de</w:t>
      </w:r>
      <w:r w:rsidRPr="004D14C1">
        <w:rPr>
          <w:sz w:val="32"/>
          <w:szCs w:val="32"/>
        </w:rPr>
        <w:t xml:space="preserve"> La Haya.</w:t>
      </w:r>
    </w:p>
    <w:p w:rsidR="000C0CEB" w:rsidRPr="004D14C1" w:rsidRDefault="000C0CEB">
      <w:pPr>
        <w:rPr>
          <w:sz w:val="32"/>
          <w:szCs w:val="32"/>
        </w:rPr>
      </w:pPr>
    </w:p>
    <w:p w:rsidR="000C0CEB" w:rsidRPr="004D14C1" w:rsidRDefault="000C0CEB">
      <w:pPr>
        <w:rPr>
          <w:sz w:val="32"/>
          <w:szCs w:val="32"/>
        </w:rPr>
      </w:pPr>
      <w:r w:rsidRPr="004D14C1">
        <w:rPr>
          <w:sz w:val="32"/>
          <w:szCs w:val="32"/>
        </w:rPr>
        <w:t>Unos pocos meses más tarde, el 16 de marzo de</w:t>
      </w:r>
      <w:r w:rsidR="0072243E">
        <w:rPr>
          <w:sz w:val="32"/>
          <w:szCs w:val="32"/>
        </w:rPr>
        <w:t>l 2005,</w:t>
      </w:r>
      <w:r w:rsidR="00291B73">
        <w:rPr>
          <w:sz w:val="32"/>
          <w:szCs w:val="32"/>
        </w:rPr>
        <w:t xml:space="preserve"> el</w:t>
      </w:r>
      <w:r w:rsidR="00D24102" w:rsidRPr="004D14C1">
        <w:rPr>
          <w:sz w:val="32"/>
          <w:szCs w:val="32"/>
        </w:rPr>
        <w:t xml:space="preserve"> Consejo adoptaba</w:t>
      </w:r>
      <w:r w:rsidRPr="004D14C1">
        <w:rPr>
          <w:sz w:val="32"/>
          <w:szCs w:val="32"/>
        </w:rPr>
        <w:t xml:space="preserve"> un marco de trabajo para las negociaciones con Croacia.</w:t>
      </w:r>
    </w:p>
    <w:p w:rsidR="000C0CEB" w:rsidRPr="004D14C1" w:rsidRDefault="000C0CEB">
      <w:pPr>
        <w:rPr>
          <w:sz w:val="32"/>
          <w:szCs w:val="32"/>
        </w:rPr>
      </w:pPr>
    </w:p>
    <w:p w:rsidR="000C0CEB" w:rsidRPr="004D14C1" w:rsidRDefault="00AC1C76">
      <w:pPr>
        <w:rPr>
          <w:sz w:val="32"/>
          <w:szCs w:val="32"/>
        </w:rPr>
      </w:pPr>
      <w:r w:rsidRPr="004D14C1">
        <w:rPr>
          <w:sz w:val="32"/>
          <w:szCs w:val="32"/>
        </w:rPr>
        <w:t>Finalmente, durante su sesión del 3 de octubre del  2005, el Consejo daba el visto bueno</w:t>
      </w:r>
      <w:r w:rsidR="000C0CEB" w:rsidRPr="004D14C1">
        <w:rPr>
          <w:sz w:val="32"/>
          <w:szCs w:val="32"/>
        </w:rPr>
        <w:t xml:space="preserve"> para </w:t>
      </w:r>
      <w:r w:rsidR="002549D7" w:rsidRPr="004D14C1">
        <w:rPr>
          <w:sz w:val="32"/>
          <w:szCs w:val="32"/>
        </w:rPr>
        <w:t xml:space="preserve"> que comenza</w:t>
      </w:r>
      <w:r w:rsidR="00000657" w:rsidRPr="004D14C1">
        <w:rPr>
          <w:sz w:val="32"/>
          <w:szCs w:val="32"/>
        </w:rPr>
        <w:t>ran las negociaciones para el</w:t>
      </w:r>
      <w:r w:rsidR="002D2C5B" w:rsidRPr="004D14C1">
        <w:rPr>
          <w:sz w:val="32"/>
          <w:szCs w:val="32"/>
        </w:rPr>
        <w:t xml:space="preserve"> ingreso de Croacia. Era</w:t>
      </w:r>
      <w:r w:rsidR="00D03936" w:rsidRPr="004D14C1">
        <w:rPr>
          <w:sz w:val="32"/>
          <w:szCs w:val="32"/>
        </w:rPr>
        <w:t xml:space="preserve"> el </w:t>
      </w:r>
      <w:r w:rsidR="004F26DE" w:rsidRPr="004D14C1">
        <w:rPr>
          <w:sz w:val="32"/>
          <w:szCs w:val="32"/>
        </w:rPr>
        <w:t xml:space="preserve">resultado </w:t>
      </w:r>
      <w:r w:rsidR="0023398D" w:rsidRPr="004D14C1">
        <w:rPr>
          <w:sz w:val="32"/>
          <w:szCs w:val="32"/>
        </w:rPr>
        <w:t xml:space="preserve"> </w:t>
      </w:r>
      <w:r w:rsidR="004F26DE" w:rsidRPr="004D14C1">
        <w:rPr>
          <w:sz w:val="32"/>
          <w:szCs w:val="32"/>
        </w:rPr>
        <w:t>d</w:t>
      </w:r>
      <w:r w:rsidR="00B41A0D" w:rsidRPr="004D14C1">
        <w:rPr>
          <w:sz w:val="32"/>
          <w:szCs w:val="32"/>
        </w:rPr>
        <w:t>e la valoración favorable del grupo de trabajo ministerial acerca de la colabor</w:t>
      </w:r>
      <w:r w:rsidR="00250777" w:rsidRPr="004D14C1">
        <w:rPr>
          <w:sz w:val="32"/>
          <w:szCs w:val="32"/>
        </w:rPr>
        <w:t>ación del país con el Tribunal P</w:t>
      </w:r>
      <w:r w:rsidR="0004728C" w:rsidRPr="004D14C1">
        <w:rPr>
          <w:sz w:val="32"/>
          <w:szCs w:val="32"/>
        </w:rPr>
        <w:t xml:space="preserve">enal </w:t>
      </w:r>
      <w:r w:rsidR="002F68A5">
        <w:rPr>
          <w:sz w:val="32"/>
          <w:szCs w:val="32"/>
        </w:rPr>
        <w:t xml:space="preserve">Internacional para </w:t>
      </w:r>
      <w:r w:rsidR="00B41A0D" w:rsidRPr="004D14C1">
        <w:rPr>
          <w:sz w:val="32"/>
          <w:szCs w:val="32"/>
        </w:rPr>
        <w:t xml:space="preserve">la antigua Yugoslavia </w:t>
      </w:r>
      <w:r w:rsidR="00D635A2" w:rsidRPr="004D14C1">
        <w:rPr>
          <w:sz w:val="32"/>
          <w:szCs w:val="32"/>
        </w:rPr>
        <w:t>(TPIY</w:t>
      </w:r>
      <w:r w:rsidR="00C2098D" w:rsidRPr="004D14C1">
        <w:rPr>
          <w:sz w:val="32"/>
          <w:szCs w:val="32"/>
        </w:rPr>
        <w:t>) y supuso que las ne</w:t>
      </w:r>
      <w:r w:rsidR="000028FD" w:rsidRPr="004D14C1">
        <w:rPr>
          <w:sz w:val="32"/>
          <w:szCs w:val="32"/>
        </w:rPr>
        <w:t xml:space="preserve">gociaciones </w:t>
      </w:r>
      <w:r w:rsidR="00D635A2" w:rsidRPr="004D14C1">
        <w:rPr>
          <w:sz w:val="32"/>
          <w:szCs w:val="32"/>
        </w:rPr>
        <w:t>pudier</w:t>
      </w:r>
      <w:r w:rsidR="00A214A1" w:rsidRPr="004D14C1">
        <w:rPr>
          <w:sz w:val="32"/>
          <w:szCs w:val="32"/>
        </w:rPr>
        <w:t>an empezar después de la reunió</w:t>
      </w:r>
      <w:r w:rsidR="0070054F" w:rsidRPr="004D14C1">
        <w:rPr>
          <w:sz w:val="32"/>
          <w:szCs w:val="32"/>
        </w:rPr>
        <w:t>n</w:t>
      </w:r>
      <w:r w:rsidR="00A214A1" w:rsidRPr="004D14C1">
        <w:rPr>
          <w:sz w:val="32"/>
          <w:szCs w:val="32"/>
        </w:rPr>
        <w:t xml:space="preserve"> del Consejo.</w:t>
      </w:r>
    </w:p>
    <w:p w:rsidR="00C2098D" w:rsidRPr="004D14C1" w:rsidRDefault="00C2098D">
      <w:pPr>
        <w:rPr>
          <w:sz w:val="32"/>
          <w:szCs w:val="32"/>
        </w:rPr>
      </w:pPr>
    </w:p>
    <w:p w:rsidR="00C2098D" w:rsidRPr="004D14C1" w:rsidRDefault="00194B12">
      <w:pPr>
        <w:rPr>
          <w:sz w:val="32"/>
          <w:szCs w:val="32"/>
        </w:rPr>
      </w:pPr>
      <w:r w:rsidRPr="004D14C1">
        <w:rPr>
          <w:sz w:val="32"/>
          <w:szCs w:val="32"/>
        </w:rPr>
        <w:t>Para Croacia las negociaciones para el ingreso</w:t>
      </w:r>
      <w:r w:rsidR="0073584F" w:rsidRPr="004D14C1">
        <w:rPr>
          <w:sz w:val="32"/>
          <w:szCs w:val="32"/>
        </w:rPr>
        <w:t xml:space="preserve"> se han dividido en 35 capítulos. Croacia tardó seis años en cerrar los 35 capítulos de negociación con la UE. Durante el Consejo de Europa del 9 de diciembre del 2011, Croacia firmó un tratado que le permitirá al país convertirse en el Estado 28 de la Unión Eu</w:t>
      </w:r>
      <w:r w:rsidR="0070054F" w:rsidRPr="004D14C1">
        <w:rPr>
          <w:sz w:val="32"/>
          <w:szCs w:val="32"/>
        </w:rPr>
        <w:t>ropea para julio del 2013; antes</w:t>
      </w:r>
      <w:r w:rsidR="0073584F" w:rsidRPr="004D14C1">
        <w:rPr>
          <w:sz w:val="32"/>
          <w:szCs w:val="32"/>
        </w:rPr>
        <w:t xml:space="preserve"> de eso, el tratado tiene que aprobarse por referéndum por parte de la población croata y ratific</w:t>
      </w:r>
      <w:r w:rsidR="006F7810">
        <w:rPr>
          <w:sz w:val="32"/>
          <w:szCs w:val="32"/>
        </w:rPr>
        <w:t>arse por los 27 Estados miembros.</w:t>
      </w:r>
    </w:p>
    <w:p w:rsidR="00F84ED8" w:rsidRPr="004D14C1" w:rsidRDefault="00F84ED8">
      <w:pPr>
        <w:rPr>
          <w:sz w:val="32"/>
          <w:szCs w:val="32"/>
        </w:rPr>
      </w:pPr>
    </w:p>
    <w:p w:rsidR="00F84ED8" w:rsidRPr="004D14C1" w:rsidRDefault="00F84ED8">
      <w:pPr>
        <w:rPr>
          <w:b/>
          <w:sz w:val="32"/>
          <w:szCs w:val="32"/>
        </w:rPr>
      </w:pPr>
      <w:r w:rsidRPr="004D14C1">
        <w:rPr>
          <w:b/>
          <w:sz w:val="32"/>
          <w:szCs w:val="32"/>
        </w:rPr>
        <w:t>Apertura de negoc</w:t>
      </w:r>
      <w:r w:rsidR="00C71209" w:rsidRPr="004D14C1">
        <w:rPr>
          <w:b/>
          <w:sz w:val="32"/>
          <w:szCs w:val="32"/>
        </w:rPr>
        <w:t xml:space="preserve">iaciones de ingreso </w:t>
      </w:r>
      <w:r w:rsidR="003C4F32" w:rsidRPr="004D14C1">
        <w:rPr>
          <w:b/>
          <w:sz w:val="32"/>
          <w:szCs w:val="32"/>
        </w:rPr>
        <w:t>con Turquía:</w:t>
      </w:r>
      <w:r w:rsidR="00C71209" w:rsidRPr="004D14C1">
        <w:rPr>
          <w:b/>
          <w:sz w:val="32"/>
          <w:szCs w:val="32"/>
        </w:rPr>
        <w:t xml:space="preserve"> 3 de octubre del </w:t>
      </w:r>
      <w:r w:rsidRPr="004D14C1">
        <w:rPr>
          <w:b/>
          <w:sz w:val="32"/>
          <w:szCs w:val="32"/>
        </w:rPr>
        <w:t>2005</w:t>
      </w:r>
    </w:p>
    <w:p w:rsidR="00F84ED8" w:rsidRPr="004D14C1" w:rsidRDefault="00F84ED8">
      <w:pPr>
        <w:rPr>
          <w:b/>
          <w:sz w:val="32"/>
          <w:szCs w:val="32"/>
        </w:rPr>
      </w:pPr>
    </w:p>
    <w:p w:rsidR="00F84ED8" w:rsidRPr="004D14C1" w:rsidRDefault="00654BC4">
      <w:pPr>
        <w:rPr>
          <w:sz w:val="32"/>
          <w:szCs w:val="32"/>
        </w:rPr>
      </w:pPr>
      <w:r w:rsidRPr="004D14C1">
        <w:rPr>
          <w:sz w:val="32"/>
          <w:szCs w:val="32"/>
        </w:rPr>
        <w:t>De acuerdo con la decisión tomada por los Jefes de Estado y Gobierno en la reunió</w:t>
      </w:r>
      <w:r w:rsidR="006427DC" w:rsidRPr="004D14C1">
        <w:rPr>
          <w:sz w:val="32"/>
          <w:szCs w:val="32"/>
        </w:rPr>
        <w:t>n</w:t>
      </w:r>
      <w:r w:rsidR="00ED0BF4" w:rsidRPr="004D14C1">
        <w:rPr>
          <w:sz w:val="32"/>
          <w:szCs w:val="32"/>
        </w:rPr>
        <w:t xml:space="preserve"> del Consejo de Europa del</w:t>
      </w:r>
      <w:r w:rsidRPr="004D14C1">
        <w:rPr>
          <w:sz w:val="32"/>
          <w:szCs w:val="32"/>
        </w:rPr>
        <w:t xml:space="preserve"> 16 y 17 de diciembre de</w:t>
      </w:r>
      <w:r w:rsidR="00ED0BF4" w:rsidRPr="004D14C1">
        <w:rPr>
          <w:sz w:val="32"/>
          <w:szCs w:val="32"/>
        </w:rPr>
        <w:t>l</w:t>
      </w:r>
      <w:r w:rsidRPr="004D14C1">
        <w:rPr>
          <w:sz w:val="32"/>
          <w:szCs w:val="32"/>
        </w:rPr>
        <w:t xml:space="preserve"> 2004,</w:t>
      </w:r>
      <w:r w:rsidR="00AB0304" w:rsidRPr="004D14C1">
        <w:rPr>
          <w:sz w:val="32"/>
          <w:szCs w:val="32"/>
        </w:rPr>
        <w:t xml:space="preserve"> durante el Consejo de Asuntos Generales y Relaciones Externas </w:t>
      </w:r>
      <w:r w:rsidR="00DB0F9B" w:rsidRPr="004D14C1">
        <w:rPr>
          <w:sz w:val="32"/>
          <w:szCs w:val="32"/>
        </w:rPr>
        <w:t>d</w:t>
      </w:r>
      <w:r w:rsidRPr="004D14C1">
        <w:rPr>
          <w:sz w:val="32"/>
          <w:szCs w:val="32"/>
        </w:rPr>
        <w:t>el</w:t>
      </w:r>
      <w:r w:rsidR="00DB0F9B" w:rsidRPr="004D14C1">
        <w:rPr>
          <w:sz w:val="32"/>
          <w:szCs w:val="32"/>
        </w:rPr>
        <w:t xml:space="preserve"> </w:t>
      </w:r>
      <w:r w:rsidRPr="004D14C1">
        <w:rPr>
          <w:sz w:val="32"/>
          <w:szCs w:val="32"/>
        </w:rPr>
        <w:t xml:space="preserve"> 3 de octubre de</w:t>
      </w:r>
      <w:r w:rsidR="00DB0F9B" w:rsidRPr="004D14C1">
        <w:rPr>
          <w:sz w:val="32"/>
          <w:szCs w:val="32"/>
        </w:rPr>
        <w:t>l</w:t>
      </w:r>
      <w:r w:rsidRPr="004D14C1">
        <w:rPr>
          <w:sz w:val="32"/>
          <w:szCs w:val="32"/>
        </w:rPr>
        <w:t xml:space="preserve"> 2005</w:t>
      </w:r>
      <w:r w:rsidR="00A34E51" w:rsidRPr="004D14C1">
        <w:rPr>
          <w:sz w:val="32"/>
          <w:szCs w:val="32"/>
        </w:rPr>
        <w:t>, se aprobó el marco de trabajo negociador para</w:t>
      </w:r>
      <w:r w:rsidR="00AF472D" w:rsidRPr="004D14C1">
        <w:rPr>
          <w:sz w:val="32"/>
          <w:szCs w:val="32"/>
        </w:rPr>
        <w:t xml:space="preserve"> el ingreso de</w:t>
      </w:r>
      <w:r w:rsidR="00A34E51" w:rsidRPr="004D14C1">
        <w:rPr>
          <w:sz w:val="32"/>
          <w:szCs w:val="32"/>
        </w:rPr>
        <w:t xml:space="preserve"> Turquía. El resultado fue la apertura de las negociaciones de ingreso con ese país.</w:t>
      </w:r>
      <w:r w:rsidR="00177212" w:rsidRPr="004D14C1">
        <w:rPr>
          <w:sz w:val="32"/>
          <w:szCs w:val="32"/>
        </w:rPr>
        <w:t xml:space="preserve"> </w:t>
      </w:r>
    </w:p>
    <w:p w:rsidR="0071794A" w:rsidRPr="004D14C1" w:rsidRDefault="0071794A">
      <w:pPr>
        <w:rPr>
          <w:sz w:val="32"/>
          <w:szCs w:val="32"/>
        </w:rPr>
      </w:pPr>
    </w:p>
    <w:p w:rsidR="006C770D" w:rsidRPr="004D14C1" w:rsidRDefault="00EE29BA">
      <w:pPr>
        <w:rPr>
          <w:sz w:val="32"/>
          <w:szCs w:val="32"/>
        </w:rPr>
      </w:pPr>
      <w:r w:rsidRPr="004D14C1">
        <w:rPr>
          <w:sz w:val="32"/>
          <w:szCs w:val="32"/>
        </w:rPr>
        <w:t xml:space="preserve">Con </w:t>
      </w:r>
      <w:r w:rsidR="00654BC4" w:rsidRPr="004D14C1">
        <w:rPr>
          <w:sz w:val="32"/>
          <w:szCs w:val="32"/>
        </w:rPr>
        <w:t>la excepción de unos pocos capítulos, l</w:t>
      </w:r>
      <w:r w:rsidR="004E6CE6" w:rsidRPr="004D14C1">
        <w:rPr>
          <w:sz w:val="32"/>
          <w:szCs w:val="32"/>
        </w:rPr>
        <w:t>as negociaciones para el ingreso</w:t>
      </w:r>
      <w:r w:rsidR="00E21A4D" w:rsidRPr="004D14C1">
        <w:rPr>
          <w:sz w:val="32"/>
          <w:szCs w:val="32"/>
        </w:rPr>
        <w:t xml:space="preserve"> de</w:t>
      </w:r>
      <w:r w:rsidR="00654BC4" w:rsidRPr="004D14C1">
        <w:rPr>
          <w:sz w:val="32"/>
          <w:szCs w:val="32"/>
        </w:rPr>
        <w:t xml:space="preserve"> Turquía est</w:t>
      </w:r>
      <w:r w:rsidR="00A76DD3" w:rsidRPr="004D14C1">
        <w:rPr>
          <w:sz w:val="32"/>
          <w:szCs w:val="32"/>
        </w:rPr>
        <w:t xml:space="preserve">án todavía en fase de resolución. </w:t>
      </w:r>
      <w:r w:rsidR="00F61ED5" w:rsidRPr="004D14C1">
        <w:rPr>
          <w:sz w:val="32"/>
          <w:szCs w:val="32"/>
        </w:rPr>
        <w:t>La ne</w:t>
      </w:r>
      <w:r w:rsidR="003E3A94" w:rsidRPr="004D14C1">
        <w:rPr>
          <w:sz w:val="32"/>
          <w:szCs w:val="32"/>
        </w:rPr>
        <w:t xml:space="preserve">gociaciones sobre el </w:t>
      </w:r>
      <w:r w:rsidR="007B2F3F" w:rsidRPr="004D14C1">
        <w:rPr>
          <w:sz w:val="32"/>
          <w:szCs w:val="32"/>
        </w:rPr>
        <w:t>capítulo (</w:t>
      </w:r>
      <w:r w:rsidR="00F61ED5" w:rsidRPr="004D14C1">
        <w:rPr>
          <w:sz w:val="32"/>
          <w:szCs w:val="32"/>
        </w:rPr>
        <w:t xml:space="preserve">Ciencias e investigación) </w:t>
      </w:r>
      <w:r w:rsidR="00654BC4" w:rsidRPr="004D14C1">
        <w:rPr>
          <w:sz w:val="32"/>
          <w:szCs w:val="32"/>
        </w:rPr>
        <w:t xml:space="preserve"> </w:t>
      </w:r>
      <w:r w:rsidR="00F61ED5" w:rsidRPr="004D14C1">
        <w:rPr>
          <w:sz w:val="32"/>
          <w:szCs w:val="32"/>
        </w:rPr>
        <w:t>se abrieron y se cerraron provisionalmente</w:t>
      </w:r>
      <w:r w:rsidR="00C02D14" w:rsidRPr="004D14C1">
        <w:rPr>
          <w:sz w:val="32"/>
          <w:szCs w:val="32"/>
        </w:rPr>
        <w:t xml:space="preserve"> en junio del </w:t>
      </w:r>
      <w:r w:rsidR="00413FF6" w:rsidRPr="004D14C1">
        <w:rPr>
          <w:sz w:val="32"/>
          <w:szCs w:val="32"/>
        </w:rPr>
        <w:t>2006</w:t>
      </w:r>
      <w:r w:rsidR="007667E0" w:rsidRPr="004D14C1">
        <w:rPr>
          <w:sz w:val="32"/>
          <w:szCs w:val="32"/>
        </w:rPr>
        <w:t>,</w:t>
      </w:r>
      <w:r w:rsidR="00413FF6" w:rsidRPr="004D14C1">
        <w:rPr>
          <w:sz w:val="32"/>
          <w:szCs w:val="32"/>
        </w:rPr>
        <w:t xml:space="preserve"> y el 28 de marzo del </w:t>
      </w:r>
      <w:r w:rsidR="003C4F32" w:rsidRPr="004D14C1">
        <w:rPr>
          <w:sz w:val="32"/>
          <w:szCs w:val="32"/>
        </w:rPr>
        <w:t xml:space="preserve"> 2007 se abrieron las negociaciones</w:t>
      </w:r>
      <w:r w:rsidR="001873E8" w:rsidRPr="004D14C1">
        <w:rPr>
          <w:sz w:val="32"/>
          <w:szCs w:val="32"/>
        </w:rPr>
        <w:t xml:space="preserve"> para </w:t>
      </w:r>
      <w:r w:rsidR="00F962DA" w:rsidRPr="004D14C1">
        <w:rPr>
          <w:sz w:val="32"/>
          <w:szCs w:val="32"/>
        </w:rPr>
        <w:t>el capítulo sobre política</w:t>
      </w:r>
      <w:r w:rsidR="006C770D" w:rsidRPr="004D14C1">
        <w:rPr>
          <w:sz w:val="32"/>
          <w:szCs w:val="32"/>
        </w:rPr>
        <w:t xml:space="preserve"> de Empresa e industrial. Se abrieron otros capítulos durante las sig</w:t>
      </w:r>
      <w:r w:rsidR="00202847" w:rsidRPr="004D14C1">
        <w:rPr>
          <w:sz w:val="32"/>
          <w:szCs w:val="32"/>
        </w:rPr>
        <w:t xml:space="preserve">uientes </w:t>
      </w:r>
      <w:r w:rsidR="00AF472D" w:rsidRPr="004D14C1">
        <w:rPr>
          <w:sz w:val="32"/>
          <w:szCs w:val="32"/>
        </w:rPr>
        <w:t>conferencias sobre el ingreso:</w:t>
      </w:r>
      <w:r w:rsidR="00BF3952" w:rsidRPr="004D14C1">
        <w:rPr>
          <w:sz w:val="32"/>
          <w:szCs w:val="32"/>
        </w:rPr>
        <w:t xml:space="preserve"> </w:t>
      </w:r>
      <w:r w:rsidR="00202847" w:rsidRPr="004D14C1">
        <w:rPr>
          <w:sz w:val="32"/>
          <w:szCs w:val="32"/>
        </w:rPr>
        <w:t xml:space="preserve">el 26 de junio del </w:t>
      </w:r>
      <w:r w:rsidR="006C770D" w:rsidRPr="004D14C1">
        <w:rPr>
          <w:sz w:val="32"/>
          <w:szCs w:val="32"/>
        </w:rPr>
        <w:t>2007 –</w:t>
      </w:r>
      <w:r w:rsidR="00BF3952" w:rsidRPr="004D14C1">
        <w:rPr>
          <w:sz w:val="32"/>
          <w:szCs w:val="32"/>
        </w:rPr>
        <w:t>los</w:t>
      </w:r>
      <w:r w:rsidR="006C770D" w:rsidRPr="004D14C1">
        <w:rPr>
          <w:sz w:val="32"/>
          <w:szCs w:val="32"/>
        </w:rPr>
        <w:t xml:space="preserve"> capítulos sobre el control Financiero y de Esta</w:t>
      </w:r>
      <w:r w:rsidR="00BF3952" w:rsidRPr="004D14C1">
        <w:rPr>
          <w:sz w:val="32"/>
          <w:szCs w:val="32"/>
        </w:rPr>
        <w:t xml:space="preserve">dísticas, el 20 de diciembre del </w:t>
      </w:r>
      <w:r w:rsidR="006C770D" w:rsidRPr="004D14C1">
        <w:rPr>
          <w:sz w:val="32"/>
          <w:szCs w:val="32"/>
        </w:rPr>
        <w:t>2007 –</w:t>
      </w:r>
      <w:r w:rsidR="00BF3952" w:rsidRPr="004D14C1">
        <w:rPr>
          <w:sz w:val="32"/>
          <w:szCs w:val="32"/>
        </w:rPr>
        <w:t xml:space="preserve"> los</w:t>
      </w:r>
      <w:r w:rsidR="006C770D" w:rsidRPr="004D14C1">
        <w:rPr>
          <w:sz w:val="32"/>
          <w:szCs w:val="32"/>
        </w:rPr>
        <w:t xml:space="preserve"> capí</w:t>
      </w:r>
      <w:r w:rsidR="000B1B9B" w:rsidRPr="004D14C1">
        <w:rPr>
          <w:sz w:val="32"/>
          <w:szCs w:val="32"/>
        </w:rPr>
        <w:t xml:space="preserve">tulos sobre las redes de trabajo dentro de </w:t>
      </w:r>
      <w:r w:rsidR="00472FE9" w:rsidRPr="004D14C1">
        <w:rPr>
          <w:sz w:val="32"/>
          <w:szCs w:val="32"/>
        </w:rPr>
        <w:t>Europa y la protección del Consumo y Salud</w:t>
      </w:r>
      <w:r w:rsidR="00167768" w:rsidRPr="004D14C1">
        <w:rPr>
          <w:sz w:val="32"/>
          <w:szCs w:val="32"/>
        </w:rPr>
        <w:t xml:space="preserve">, </w:t>
      </w:r>
      <w:r w:rsidR="00497C52" w:rsidRPr="004D14C1">
        <w:rPr>
          <w:sz w:val="32"/>
          <w:szCs w:val="32"/>
        </w:rPr>
        <w:t xml:space="preserve">el 17 de junio del </w:t>
      </w:r>
      <w:r w:rsidR="004B4AD9" w:rsidRPr="004D14C1">
        <w:rPr>
          <w:sz w:val="32"/>
          <w:szCs w:val="32"/>
        </w:rPr>
        <w:t>2</w:t>
      </w:r>
      <w:r w:rsidR="00BD7639" w:rsidRPr="004D14C1">
        <w:rPr>
          <w:sz w:val="32"/>
          <w:szCs w:val="32"/>
        </w:rPr>
        <w:t>008 – los ca</w:t>
      </w:r>
      <w:r w:rsidR="00497C52" w:rsidRPr="004D14C1">
        <w:rPr>
          <w:sz w:val="32"/>
          <w:szCs w:val="32"/>
        </w:rPr>
        <w:t xml:space="preserve">pítulos sobre la Ley de Propiedad </w:t>
      </w:r>
      <w:r w:rsidR="00B45933">
        <w:rPr>
          <w:sz w:val="32"/>
          <w:szCs w:val="32"/>
        </w:rPr>
        <w:t>Intelectual y la Ley de Derecho de Sociedades</w:t>
      </w:r>
      <w:r w:rsidR="00895BCC" w:rsidRPr="004D14C1">
        <w:rPr>
          <w:sz w:val="32"/>
          <w:szCs w:val="32"/>
        </w:rPr>
        <w:t xml:space="preserve">, y el 19 de diciembre del </w:t>
      </w:r>
      <w:r w:rsidR="004B4AD9" w:rsidRPr="004D14C1">
        <w:rPr>
          <w:sz w:val="32"/>
          <w:szCs w:val="32"/>
        </w:rPr>
        <w:t>2008 los capítulos s</w:t>
      </w:r>
      <w:r w:rsidR="00216C92" w:rsidRPr="004D14C1">
        <w:rPr>
          <w:sz w:val="32"/>
          <w:szCs w:val="32"/>
        </w:rPr>
        <w:t xml:space="preserve">obre </w:t>
      </w:r>
      <w:r w:rsidR="00343A5A" w:rsidRPr="004D14C1">
        <w:rPr>
          <w:sz w:val="32"/>
          <w:szCs w:val="32"/>
        </w:rPr>
        <w:t>el Libre</w:t>
      </w:r>
      <w:r w:rsidR="00216C92" w:rsidRPr="004D14C1">
        <w:rPr>
          <w:sz w:val="32"/>
          <w:szCs w:val="32"/>
        </w:rPr>
        <w:t xml:space="preserve"> movimiento de capital y la </w:t>
      </w:r>
      <w:r w:rsidR="00A7711C" w:rsidRPr="004D14C1">
        <w:rPr>
          <w:sz w:val="32"/>
          <w:szCs w:val="32"/>
        </w:rPr>
        <w:t>sociedad de Información y medios de comunicación.</w:t>
      </w:r>
    </w:p>
    <w:p w:rsidR="004B4AD9" w:rsidRPr="004D14C1" w:rsidRDefault="004B4AD9">
      <w:pPr>
        <w:rPr>
          <w:sz w:val="32"/>
          <w:szCs w:val="32"/>
        </w:rPr>
      </w:pPr>
    </w:p>
    <w:p w:rsidR="004B4AD9" w:rsidRPr="004D14C1" w:rsidRDefault="00A85122">
      <w:pPr>
        <w:rPr>
          <w:sz w:val="32"/>
          <w:szCs w:val="32"/>
        </w:rPr>
      </w:pPr>
      <w:r w:rsidRPr="004D14C1">
        <w:rPr>
          <w:sz w:val="32"/>
          <w:szCs w:val="32"/>
        </w:rPr>
        <w:t xml:space="preserve">El 11 de </w:t>
      </w:r>
      <w:r w:rsidR="00A7711C" w:rsidRPr="004D14C1">
        <w:rPr>
          <w:sz w:val="32"/>
          <w:szCs w:val="32"/>
        </w:rPr>
        <w:t xml:space="preserve">diciembre del </w:t>
      </w:r>
      <w:r w:rsidR="0026085E">
        <w:rPr>
          <w:sz w:val="32"/>
          <w:szCs w:val="32"/>
        </w:rPr>
        <w:t xml:space="preserve">2006, en cumplimiento de una </w:t>
      </w:r>
      <w:r w:rsidR="004B4AD9" w:rsidRPr="004D14C1">
        <w:rPr>
          <w:sz w:val="32"/>
          <w:szCs w:val="32"/>
        </w:rPr>
        <w:t>recomendación de la Comisión Europea, el Consejo de Asuntos Generales decidía no abrir</w:t>
      </w:r>
      <w:r w:rsidR="00F13137" w:rsidRPr="004D14C1">
        <w:rPr>
          <w:sz w:val="32"/>
          <w:szCs w:val="32"/>
        </w:rPr>
        <w:t xml:space="preserve"> los ocho </w:t>
      </w:r>
      <w:r w:rsidR="004B4AD9" w:rsidRPr="004D14C1">
        <w:rPr>
          <w:sz w:val="32"/>
          <w:szCs w:val="32"/>
        </w:rPr>
        <w:t xml:space="preserve">importantes </w:t>
      </w:r>
      <w:r w:rsidR="00F13137" w:rsidRPr="004D14C1">
        <w:rPr>
          <w:sz w:val="32"/>
          <w:szCs w:val="32"/>
        </w:rPr>
        <w:t xml:space="preserve">capítulos </w:t>
      </w:r>
      <w:r w:rsidR="004B4AD9" w:rsidRPr="004D14C1">
        <w:rPr>
          <w:sz w:val="32"/>
          <w:szCs w:val="32"/>
        </w:rPr>
        <w:t>rela</w:t>
      </w:r>
      <w:r w:rsidR="00A25968" w:rsidRPr="004D14C1">
        <w:rPr>
          <w:sz w:val="32"/>
          <w:szCs w:val="32"/>
        </w:rPr>
        <w:t>cionados con la unión aduanera</w:t>
      </w:r>
      <w:r w:rsidR="004B4AD9" w:rsidRPr="004D14C1">
        <w:rPr>
          <w:sz w:val="32"/>
          <w:szCs w:val="32"/>
        </w:rPr>
        <w:t xml:space="preserve"> y no cerrar ningún otro capítulo mientras que Turquía no hubiera respetado sus obligaciones bajo el Protocolo Adicional para el Acuerdo de Ankara. La situación radica del hecho de que Turquía continúa interfiriendo en el libre movimiento de productos desde y hacia Chipre.</w:t>
      </w:r>
    </w:p>
    <w:p w:rsidR="004B4AD9" w:rsidRPr="004D14C1" w:rsidRDefault="004B4AD9">
      <w:pPr>
        <w:rPr>
          <w:sz w:val="32"/>
          <w:szCs w:val="32"/>
        </w:rPr>
      </w:pPr>
    </w:p>
    <w:p w:rsidR="004F7780" w:rsidRPr="004D14C1" w:rsidRDefault="004F7780">
      <w:pPr>
        <w:rPr>
          <w:sz w:val="32"/>
          <w:szCs w:val="32"/>
        </w:rPr>
      </w:pPr>
    </w:p>
    <w:p w:rsidR="004F7780" w:rsidRPr="004D14C1" w:rsidRDefault="004F7780">
      <w:pPr>
        <w:rPr>
          <w:sz w:val="32"/>
          <w:szCs w:val="32"/>
        </w:rPr>
      </w:pPr>
    </w:p>
    <w:p w:rsidR="004F7780" w:rsidRPr="004D14C1" w:rsidRDefault="004F7780">
      <w:pPr>
        <w:rPr>
          <w:sz w:val="32"/>
          <w:szCs w:val="32"/>
        </w:rPr>
      </w:pPr>
    </w:p>
    <w:p w:rsidR="004F7780" w:rsidRPr="004D14C1" w:rsidRDefault="004F7780">
      <w:pPr>
        <w:rPr>
          <w:sz w:val="32"/>
          <w:szCs w:val="32"/>
        </w:rPr>
      </w:pPr>
    </w:p>
    <w:p w:rsidR="004B4AD9" w:rsidRPr="004D14C1" w:rsidRDefault="00341C60">
      <w:pPr>
        <w:rPr>
          <w:b/>
          <w:sz w:val="32"/>
          <w:szCs w:val="32"/>
        </w:rPr>
      </w:pPr>
      <w:r w:rsidRPr="004D14C1">
        <w:rPr>
          <w:b/>
          <w:sz w:val="32"/>
          <w:szCs w:val="32"/>
        </w:rPr>
        <w:t xml:space="preserve">Los </w:t>
      </w:r>
      <w:r w:rsidR="00E1197F" w:rsidRPr="004D14C1">
        <w:rPr>
          <w:b/>
          <w:sz w:val="32"/>
          <w:szCs w:val="32"/>
        </w:rPr>
        <w:t xml:space="preserve">países </w:t>
      </w:r>
      <w:r w:rsidRPr="004D14C1">
        <w:rPr>
          <w:b/>
          <w:sz w:val="32"/>
          <w:szCs w:val="32"/>
        </w:rPr>
        <w:t>Balcánicos: países con una perspectiva en la UE</w:t>
      </w:r>
    </w:p>
    <w:p w:rsidR="00C2098D" w:rsidRPr="004D14C1" w:rsidRDefault="00C2098D">
      <w:pPr>
        <w:rPr>
          <w:sz w:val="32"/>
          <w:szCs w:val="32"/>
        </w:rPr>
      </w:pPr>
    </w:p>
    <w:p w:rsidR="00E1197F" w:rsidRPr="004D14C1" w:rsidRDefault="00E1197F">
      <w:pPr>
        <w:rPr>
          <w:sz w:val="32"/>
          <w:szCs w:val="32"/>
        </w:rPr>
      </w:pPr>
    </w:p>
    <w:p w:rsidR="00E1197F" w:rsidRPr="004D14C1" w:rsidRDefault="00F13137">
      <w:pPr>
        <w:rPr>
          <w:sz w:val="32"/>
          <w:szCs w:val="32"/>
        </w:rPr>
      </w:pPr>
      <w:r w:rsidRPr="004D14C1">
        <w:rPr>
          <w:sz w:val="32"/>
          <w:szCs w:val="32"/>
        </w:rPr>
        <w:t xml:space="preserve">Durante el Consejo de Europa </w:t>
      </w:r>
      <w:r w:rsidR="008C1C40" w:rsidRPr="004D14C1">
        <w:rPr>
          <w:sz w:val="32"/>
          <w:szCs w:val="32"/>
        </w:rPr>
        <w:t>en Feira</w:t>
      </w:r>
      <w:r w:rsidR="000969D9" w:rsidRPr="004D14C1">
        <w:rPr>
          <w:sz w:val="32"/>
          <w:szCs w:val="32"/>
        </w:rPr>
        <w:t xml:space="preserve"> (</w:t>
      </w:r>
      <w:r w:rsidR="00710DDF" w:rsidRPr="004D14C1">
        <w:rPr>
          <w:sz w:val="32"/>
          <w:szCs w:val="32"/>
        </w:rPr>
        <w:t xml:space="preserve">junio </w:t>
      </w:r>
      <w:r w:rsidRPr="004D14C1">
        <w:rPr>
          <w:sz w:val="32"/>
          <w:szCs w:val="32"/>
        </w:rPr>
        <w:t xml:space="preserve">del </w:t>
      </w:r>
      <w:r w:rsidR="0022121F" w:rsidRPr="004D14C1">
        <w:rPr>
          <w:sz w:val="32"/>
          <w:szCs w:val="32"/>
        </w:rPr>
        <w:t>2000),  se reconoció que los pa</w:t>
      </w:r>
      <w:r w:rsidR="00282A71">
        <w:rPr>
          <w:sz w:val="32"/>
          <w:szCs w:val="32"/>
        </w:rPr>
        <w:t xml:space="preserve">íses balcánicos </w:t>
      </w:r>
      <w:r w:rsidR="00560C8F" w:rsidRPr="004D14C1">
        <w:rPr>
          <w:sz w:val="32"/>
          <w:szCs w:val="32"/>
        </w:rPr>
        <w:t xml:space="preserve">que  forman parte del proceso de </w:t>
      </w:r>
      <w:r w:rsidR="0022121F" w:rsidRPr="004D14C1">
        <w:rPr>
          <w:sz w:val="32"/>
          <w:szCs w:val="32"/>
        </w:rPr>
        <w:t xml:space="preserve">estabilización </w:t>
      </w:r>
      <w:r w:rsidR="00560C8F" w:rsidRPr="004D14C1">
        <w:rPr>
          <w:sz w:val="32"/>
          <w:szCs w:val="32"/>
        </w:rPr>
        <w:t>y asocia</w:t>
      </w:r>
      <w:r w:rsidR="00282A71">
        <w:rPr>
          <w:sz w:val="32"/>
          <w:szCs w:val="32"/>
        </w:rPr>
        <w:t xml:space="preserve">ción ( Croacia, Albania, Bosnia y </w:t>
      </w:r>
      <w:r w:rsidR="00560C8F" w:rsidRPr="004D14C1">
        <w:rPr>
          <w:sz w:val="32"/>
          <w:szCs w:val="32"/>
        </w:rPr>
        <w:t xml:space="preserve">Herzegovina, Serbia y Montenegro y la antigua República Yugoslava de Macedonia) </w:t>
      </w:r>
      <w:r w:rsidR="001D447F" w:rsidRPr="004D14C1">
        <w:rPr>
          <w:sz w:val="32"/>
          <w:szCs w:val="32"/>
        </w:rPr>
        <w:t xml:space="preserve"> estaban</w:t>
      </w:r>
      <w:r w:rsidR="000969D9" w:rsidRPr="004D14C1">
        <w:rPr>
          <w:sz w:val="32"/>
          <w:szCs w:val="32"/>
        </w:rPr>
        <w:t xml:space="preserve"> destinados</w:t>
      </w:r>
      <w:r w:rsidR="00F809DF" w:rsidRPr="004D14C1">
        <w:rPr>
          <w:sz w:val="32"/>
          <w:szCs w:val="32"/>
        </w:rPr>
        <w:t xml:space="preserve"> a </w:t>
      </w:r>
      <w:r w:rsidR="00F53F39" w:rsidRPr="004D14C1">
        <w:rPr>
          <w:sz w:val="32"/>
          <w:szCs w:val="32"/>
        </w:rPr>
        <w:t>convertirse en Estados</w:t>
      </w:r>
      <w:r w:rsidR="00BE6693" w:rsidRPr="004D14C1">
        <w:rPr>
          <w:sz w:val="32"/>
          <w:szCs w:val="32"/>
        </w:rPr>
        <w:t xml:space="preserve"> Miembro</w:t>
      </w:r>
      <w:r w:rsidR="003D2529">
        <w:rPr>
          <w:sz w:val="32"/>
          <w:szCs w:val="32"/>
        </w:rPr>
        <w:t xml:space="preserve">s </w:t>
      </w:r>
      <w:r w:rsidR="00F809DF" w:rsidRPr="004D14C1">
        <w:rPr>
          <w:sz w:val="32"/>
          <w:szCs w:val="32"/>
        </w:rPr>
        <w:t>de la UE.</w:t>
      </w:r>
    </w:p>
    <w:p w:rsidR="00F809DF" w:rsidRPr="004D14C1" w:rsidRDefault="00F809DF">
      <w:pPr>
        <w:rPr>
          <w:sz w:val="32"/>
          <w:szCs w:val="32"/>
        </w:rPr>
      </w:pPr>
    </w:p>
    <w:p w:rsidR="00F809DF" w:rsidRPr="004D14C1" w:rsidRDefault="003717E6">
      <w:pPr>
        <w:rPr>
          <w:sz w:val="32"/>
          <w:szCs w:val="32"/>
        </w:rPr>
      </w:pPr>
      <w:r w:rsidRPr="004D14C1">
        <w:rPr>
          <w:sz w:val="32"/>
          <w:szCs w:val="32"/>
        </w:rPr>
        <w:t xml:space="preserve">En consecuencia, </w:t>
      </w:r>
      <w:r w:rsidR="00F809DF" w:rsidRPr="004D14C1">
        <w:rPr>
          <w:sz w:val="32"/>
          <w:szCs w:val="32"/>
        </w:rPr>
        <w:t>el Consejo se ha referido en varias ocasiones a las pers</w:t>
      </w:r>
      <w:r w:rsidR="00591B33" w:rsidRPr="004D14C1">
        <w:rPr>
          <w:sz w:val="32"/>
          <w:szCs w:val="32"/>
        </w:rPr>
        <w:t>pectivas de la UE  con respecto a los</w:t>
      </w:r>
      <w:r w:rsidR="00F809DF" w:rsidRPr="004D14C1">
        <w:rPr>
          <w:sz w:val="32"/>
          <w:szCs w:val="32"/>
        </w:rPr>
        <w:t xml:space="preserve"> países Balcánicos occidentales. Más concretamente, se ha afirmado  que estos países se convertirán en una parte integral de la Unión Europea una vez que </w:t>
      </w:r>
      <w:r w:rsidR="00CF0A33" w:rsidRPr="004D14C1">
        <w:rPr>
          <w:sz w:val="32"/>
          <w:szCs w:val="32"/>
        </w:rPr>
        <w:t>re</w:t>
      </w:r>
      <w:r w:rsidR="00F809DF" w:rsidRPr="004D14C1">
        <w:rPr>
          <w:sz w:val="32"/>
          <w:szCs w:val="32"/>
        </w:rPr>
        <w:t>conozcan los criterios establecidos.</w:t>
      </w:r>
    </w:p>
    <w:p w:rsidR="00F809DF" w:rsidRPr="004D14C1" w:rsidRDefault="00F809DF">
      <w:pPr>
        <w:rPr>
          <w:sz w:val="32"/>
          <w:szCs w:val="32"/>
        </w:rPr>
      </w:pPr>
    </w:p>
    <w:p w:rsidR="00F809DF" w:rsidRPr="004D14C1" w:rsidRDefault="00F809DF">
      <w:pPr>
        <w:rPr>
          <w:sz w:val="32"/>
          <w:szCs w:val="32"/>
        </w:rPr>
      </w:pPr>
      <w:r w:rsidRPr="004D14C1">
        <w:rPr>
          <w:sz w:val="32"/>
          <w:szCs w:val="32"/>
        </w:rPr>
        <w:t>En su reun</w:t>
      </w:r>
      <w:r w:rsidR="00994DFE" w:rsidRPr="004D14C1">
        <w:rPr>
          <w:sz w:val="32"/>
          <w:szCs w:val="32"/>
        </w:rPr>
        <w:t xml:space="preserve">ión del 15 y 16 de diciembre del </w:t>
      </w:r>
      <w:r w:rsidRPr="004D14C1">
        <w:rPr>
          <w:sz w:val="32"/>
          <w:szCs w:val="32"/>
        </w:rPr>
        <w:t>2005, el Consejo Europeo concedía el estatus de país candidato a la antigua República Yugoslava de Macedonia en reconocimiento a las reformas llevadas a cabo y a los lazos más cercanos que nunca entre este país y la UE. A pesar de esto, sin embargo, las verd</w:t>
      </w:r>
      <w:r w:rsidR="009A7B07" w:rsidRPr="004D14C1">
        <w:rPr>
          <w:sz w:val="32"/>
          <w:szCs w:val="32"/>
        </w:rPr>
        <w:t>aderas negociaciones de ingreso</w:t>
      </w:r>
      <w:r w:rsidRPr="004D14C1">
        <w:rPr>
          <w:sz w:val="32"/>
          <w:szCs w:val="32"/>
        </w:rPr>
        <w:t xml:space="preserve"> todavía no se han abierto.</w:t>
      </w:r>
    </w:p>
    <w:p w:rsidR="00F809DF" w:rsidRPr="004D14C1" w:rsidRDefault="00F809DF">
      <w:pPr>
        <w:rPr>
          <w:sz w:val="32"/>
          <w:szCs w:val="32"/>
        </w:rPr>
      </w:pPr>
    </w:p>
    <w:p w:rsidR="00634EEF" w:rsidRPr="004D14C1" w:rsidRDefault="00F809DF">
      <w:pPr>
        <w:rPr>
          <w:sz w:val="32"/>
          <w:szCs w:val="32"/>
        </w:rPr>
      </w:pPr>
      <w:r w:rsidRPr="004D14C1">
        <w:rPr>
          <w:sz w:val="32"/>
          <w:szCs w:val="32"/>
        </w:rPr>
        <w:t>En marzo de</w:t>
      </w:r>
      <w:r w:rsidR="009A7B07" w:rsidRPr="004D14C1">
        <w:rPr>
          <w:sz w:val="32"/>
          <w:szCs w:val="32"/>
        </w:rPr>
        <w:t>l</w:t>
      </w:r>
      <w:r w:rsidRPr="004D14C1">
        <w:rPr>
          <w:sz w:val="32"/>
          <w:szCs w:val="32"/>
        </w:rPr>
        <w:t xml:space="preserve"> 2006, la UE  confirmaba una vez más en Salzburgo </w:t>
      </w:r>
      <w:r w:rsidR="00724BCE">
        <w:rPr>
          <w:sz w:val="32"/>
          <w:szCs w:val="32"/>
        </w:rPr>
        <w:t xml:space="preserve">que en cumplimiento </w:t>
      </w:r>
      <w:r w:rsidR="00332432" w:rsidRPr="004D14C1">
        <w:rPr>
          <w:sz w:val="32"/>
          <w:szCs w:val="32"/>
        </w:rPr>
        <w:t xml:space="preserve">del </w:t>
      </w:r>
      <w:r w:rsidR="00742EDA">
        <w:rPr>
          <w:sz w:val="32"/>
          <w:szCs w:val="32"/>
        </w:rPr>
        <w:t xml:space="preserve">Orden del día de </w:t>
      </w:r>
      <w:r w:rsidR="00C65B9A">
        <w:rPr>
          <w:sz w:val="32"/>
          <w:szCs w:val="32"/>
        </w:rPr>
        <w:t xml:space="preserve">Tesalónica </w:t>
      </w:r>
      <w:r w:rsidR="00780D7D">
        <w:rPr>
          <w:sz w:val="32"/>
          <w:szCs w:val="32"/>
        </w:rPr>
        <w:t xml:space="preserve">el </w:t>
      </w:r>
      <w:bookmarkStart w:id="0" w:name="_GoBack"/>
      <w:bookmarkEnd w:id="0"/>
      <w:r w:rsidR="008D327D">
        <w:rPr>
          <w:sz w:val="32"/>
          <w:szCs w:val="32"/>
        </w:rPr>
        <w:t xml:space="preserve">futuro de los países balcánicos </w:t>
      </w:r>
      <w:r w:rsidR="00634EEF" w:rsidRPr="004D14C1">
        <w:rPr>
          <w:sz w:val="32"/>
          <w:szCs w:val="32"/>
        </w:rPr>
        <w:t xml:space="preserve"> occidentales yace dentro de la Unión Europea. La cuestió</w:t>
      </w:r>
      <w:r w:rsidR="006B3BB2" w:rsidRPr="004D14C1">
        <w:rPr>
          <w:sz w:val="32"/>
          <w:szCs w:val="32"/>
        </w:rPr>
        <w:t xml:space="preserve">n de si un país tiene un registro </w:t>
      </w:r>
      <w:r w:rsidR="00634EEF" w:rsidRPr="004D14C1">
        <w:rPr>
          <w:sz w:val="32"/>
          <w:szCs w:val="32"/>
        </w:rPr>
        <w:t>de implementación satisfactorio en relación a sus obligaciones bajo los acuerdos de estabilización y asociación ( incluyendo l</w:t>
      </w:r>
      <w:r w:rsidR="00FA24D7" w:rsidRPr="004D14C1">
        <w:rPr>
          <w:sz w:val="32"/>
          <w:szCs w:val="32"/>
        </w:rPr>
        <w:t>as provisiones relacionadas con</w:t>
      </w:r>
      <w:r w:rsidR="00634EEF" w:rsidRPr="004D14C1">
        <w:rPr>
          <w:sz w:val="32"/>
          <w:szCs w:val="32"/>
        </w:rPr>
        <w:t xml:space="preserve"> el comercio) es un aspecto esen</w:t>
      </w:r>
      <w:r w:rsidR="003717E6" w:rsidRPr="004D14C1">
        <w:rPr>
          <w:sz w:val="32"/>
          <w:szCs w:val="32"/>
        </w:rPr>
        <w:t xml:space="preserve">cial para la UE cuando se evalúa </w:t>
      </w:r>
      <w:r w:rsidR="00634EEF" w:rsidRPr="004D14C1">
        <w:rPr>
          <w:sz w:val="32"/>
          <w:szCs w:val="32"/>
        </w:rPr>
        <w:t xml:space="preserve"> una solicitud para ser miembro.</w:t>
      </w:r>
    </w:p>
    <w:p w:rsidR="00634EEF" w:rsidRPr="004D14C1" w:rsidRDefault="00634EEF">
      <w:pPr>
        <w:rPr>
          <w:sz w:val="32"/>
          <w:szCs w:val="32"/>
        </w:rPr>
      </w:pPr>
    </w:p>
    <w:p w:rsidR="00F809DF" w:rsidRPr="004D14C1" w:rsidRDefault="00634EEF">
      <w:pPr>
        <w:rPr>
          <w:sz w:val="32"/>
          <w:szCs w:val="32"/>
        </w:rPr>
      </w:pPr>
      <w:r w:rsidRPr="004D14C1">
        <w:rPr>
          <w:sz w:val="32"/>
          <w:szCs w:val="32"/>
        </w:rPr>
        <w:t xml:space="preserve">Montenegro envió una </w:t>
      </w:r>
      <w:r w:rsidR="00FE102E" w:rsidRPr="004D14C1">
        <w:rPr>
          <w:sz w:val="32"/>
          <w:szCs w:val="32"/>
        </w:rPr>
        <w:t xml:space="preserve">solicitud </w:t>
      </w:r>
      <w:r w:rsidRPr="004D14C1">
        <w:rPr>
          <w:sz w:val="32"/>
          <w:szCs w:val="32"/>
        </w:rPr>
        <w:t>oficial</w:t>
      </w:r>
      <w:r w:rsidR="00F809DF" w:rsidRPr="004D14C1">
        <w:rPr>
          <w:sz w:val="32"/>
          <w:szCs w:val="32"/>
        </w:rPr>
        <w:t xml:space="preserve"> </w:t>
      </w:r>
      <w:r w:rsidR="00FE102E" w:rsidRPr="004D14C1">
        <w:rPr>
          <w:sz w:val="32"/>
          <w:szCs w:val="32"/>
        </w:rPr>
        <w:t>para obtener el estatus de país candidato a la Presidencia en diciembre de</w:t>
      </w:r>
      <w:r w:rsidR="00762D8E" w:rsidRPr="004D14C1">
        <w:rPr>
          <w:sz w:val="32"/>
          <w:szCs w:val="32"/>
        </w:rPr>
        <w:t>l</w:t>
      </w:r>
      <w:r w:rsidR="00FE102E" w:rsidRPr="004D14C1">
        <w:rPr>
          <w:sz w:val="32"/>
          <w:szCs w:val="32"/>
        </w:rPr>
        <w:t xml:space="preserve"> 2008.</w:t>
      </w:r>
    </w:p>
    <w:p w:rsidR="00A1626D" w:rsidRPr="004D14C1" w:rsidRDefault="00A1626D">
      <w:pPr>
        <w:rPr>
          <w:sz w:val="32"/>
          <w:szCs w:val="32"/>
        </w:rPr>
      </w:pPr>
    </w:p>
    <w:p w:rsidR="00F4669E" w:rsidRPr="004D14C1" w:rsidRDefault="00A1626D">
      <w:pPr>
        <w:rPr>
          <w:b/>
          <w:sz w:val="32"/>
          <w:szCs w:val="32"/>
        </w:rPr>
      </w:pPr>
      <w:r w:rsidRPr="004D14C1">
        <w:rPr>
          <w:b/>
          <w:sz w:val="32"/>
          <w:szCs w:val="32"/>
        </w:rPr>
        <w:t xml:space="preserve">Apertura de las negociaciones de </w:t>
      </w:r>
      <w:r w:rsidR="00604978" w:rsidRPr="004D14C1">
        <w:rPr>
          <w:b/>
          <w:sz w:val="32"/>
          <w:szCs w:val="32"/>
        </w:rPr>
        <w:t>ingreso</w:t>
      </w:r>
      <w:r w:rsidR="00F4669E" w:rsidRPr="004D14C1">
        <w:rPr>
          <w:b/>
          <w:sz w:val="32"/>
          <w:szCs w:val="32"/>
        </w:rPr>
        <w:t xml:space="preserve"> con Islandia</w:t>
      </w:r>
    </w:p>
    <w:p w:rsidR="00F4669E" w:rsidRPr="004D14C1" w:rsidRDefault="00F4669E">
      <w:pPr>
        <w:rPr>
          <w:b/>
          <w:sz w:val="32"/>
          <w:szCs w:val="32"/>
        </w:rPr>
      </w:pPr>
    </w:p>
    <w:p w:rsidR="00F4669E" w:rsidRPr="004D14C1" w:rsidRDefault="00F4669E">
      <w:pPr>
        <w:rPr>
          <w:sz w:val="32"/>
          <w:szCs w:val="32"/>
        </w:rPr>
      </w:pPr>
      <w:r w:rsidRPr="004D14C1">
        <w:rPr>
          <w:sz w:val="32"/>
          <w:szCs w:val="32"/>
        </w:rPr>
        <w:t xml:space="preserve">Islandia envió su solicitud para unirse a la </w:t>
      </w:r>
      <w:r w:rsidR="00604978" w:rsidRPr="004D14C1">
        <w:rPr>
          <w:sz w:val="32"/>
          <w:szCs w:val="32"/>
        </w:rPr>
        <w:t xml:space="preserve">Unión Europea el 28 de julio del </w:t>
      </w:r>
      <w:r w:rsidRPr="004D14C1">
        <w:rPr>
          <w:sz w:val="32"/>
          <w:szCs w:val="32"/>
        </w:rPr>
        <w:t>2009. Tras e</w:t>
      </w:r>
      <w:r w:rsidR="004A2B34" w:rsidRPr="004D14C1">
        <w:rPr>
          <w:sz w:val="32"/>
          <w:szCs w:val="32"/>
        </w:rPr>
        <w:t xml:space="preserve">xaminar la solicitud de ingreso </w:t>
      </w:r>
      <w:r w:rsidRPr="004D14C1">
        <w:rPr>
          <w:sz w:val="32"/>
          <w:szCs w:val="32"/>
        </w:rPr>
        <w:t xml:space="preserve"> conforme a la opinión de la Comisión,</w:t>
      </w:r>
      <w:r w:rsidR="004A2B34" w:rsidRPr="004D14C1">
        <w:rPr>
          <w:sz w:val="32"/>
          <w:szCs w:val="32"/>
        </w:rPr>
        <w:t xml:space="preserve"> </w:t>
      </w:r>
      <w:r w:rsidR="00361AAE" w:rsidRPr="004D14C1">
        <w:rPr>
          <w:sz w:val="32"/>
          <w:szCs w:val="32"/>
        </w:rPr>
        <w:t xml:space="preserve">en </w:t>
      </w:r>
      <w:r w:rsidR="004A2B34" w:rsidRPr="004D14C1">
        <w:rPr>
          <w:sz w:val="32"/>
          <w:szCs w:val="32"/>
        </w:rPr>
        <w:t>la reunión del Consejo de Europa</w:t>
      </w:r>
      <w:r w:rsidR="0038298A" w:rsidRPr="004D14C1">
        <w:rPr>
          <w:sz w:val="32"/>
          <w:szCs w:val="32"/>
        </w:rPr>
        <w:t xml:space="preserve"> </w:t>
      </w:r>
      <w:r w:rsidR="003717E6" w:rsidRPr="004D14C1">
        <w:rPr>
          <w:sz w:val="32"/>
          <w:szCs w:val="32"/>
        </w:rPr>
        <w:t>d</w:t>
      </w:r>
      <w:r w:rsidR="0054724D" w:rsidRPr="004D14C1">
        <w:rPr>
          <w:sz w:val="32"/>
          <w:szCs w:val="32"/>
        </w:rPr>
        <w:t xml:space="preserve">el 17 y 18 de junio del </w:t>
      </w:r>
      <w:r w:rsidR="00D92AC2" w:rsidRPr="004D14C1">
        <w:rPr>
          <w:sz w:val="32"/>
          <w:szCs w:val="32"/>
        </w:rPr>
        <w:t>20</w:t>
      </w:r>
      <w:r w:rsidR="00AC6549" w:rsidRPr="004D14C1">
        <w:rPr>
          <w:sz w:val="32"/>
          <w:szCs w:val="32"/>
        </w:rPr>
        <w:t xml:space="preserve">10 </w:t>
      </w:r>
      <w:r w:rsidR="00361AAE" w:rsidRPr="004D14C1">
        <w:rPr>
          <w:sz w:val="32"/>
          <w:szCs w:val="32"/>
        </w:rPr>
        <w:t xml:space="preserve">se </w:t>
      </w:r>
      <w:r w:rsidR="00AC6549" w:rsidRPr="004D14C1">
        <w:rPr>
          <w:sz w:val="32"/>
          <w:szCs w:val="32"/>
        </w:rPr>
        <w:t>constataba</w:t>
      </w:r>
      <w:r w:rsidR="00263FAA" w:rsidRPr="004D14C1">
        <w:rPr>
          <w:sz w:val="32"/>
          <w:szCs w:val="32"/>
        </w:rPr>
        <w:t xml:space="preserve"> que</w:t>
      </w:r>
      <w:r w:rsidRPr="004D14C1">
        <w:rPr>
          <w:sz w:val="32"/>
          <w:szCs w:val="32"/>
        </w:rPr>
        <w:t xml:space="preserve"> Islandia cumple los criterios políticos d</w:t>
      </w:r>
      <w:r w:rsidR="000D17A6" w:rsidRPr="004D14C1">
        <w:rPr>
          <w:sz w:val="32"/>
          <w:szCs w:val="32"/>
        </w:rPr>
        <w:t xml:space="preserve">efinidos por el Consejo de Europa </w:t>
      </w:r>
      <w:r w:rsidRPr="004D14C1">
        <w:rPr>
          <w:sz w:val="32"/>
          <w:szCs w:val="32"/>
        </w:rPr>
        <w:t xml:space="preserve">de </w:t>
      </w:r>
      <w:r w:rsidR="00754E7B" w:rsidRPr="004D14C1">
        <w:rPr>
          <w:sz w:val="32"/>
          <w:szCs w:val="32"/>
        </w:rPr>
        <w:t xml:space="preserve">Copenhague </w:t>
      </w:r>
      <w:r w:rsidR="00AC6549" w:rsidRPr="004D14C1">
        <w:rPr>
          <w:sz w:val="32"/>
          <w:szCs w:val="32"/>
        </w:rPr>
        <w:t xml:space="preserve">de 1993 y </w:t>
      </w:r>
      <w:r w:rsidR="00361AAE" w:rsidRPr="004D14C1">
        <w:rPr>
          <w:sz w:val="32"/>
          <w:szCs w:val="32"/>
        </w:rPr>
        <w:t xml:space="preserve">se </w:t>
      </w:r>
      <w:r w:rsidR="00AC6549" w:rsidRPr="004D14C1">
        <w:rPr>
          <w:sz w:val="32"/>
          <w:szCs w:val="32"/>
        </w:rPr>
        <w:t>decid</w:t>
      </w:r>
      <w:r w:rsidR="002E28B8" w:rsidRPr="004D14C1">
        <w:rPr>
          <w:sz w:val="32"/>
          <w:szCs w:val="32"/>
        </w:rPr>
        <w:t>ía</w:t>
      </w:r>
      <w:r w:rsidR="00AC6549" w:rsidRPr="004D14C1">
        <w:rPr>
          <w:sz w:val="32"/>
          <w:szCs w:val="32"/>
        </w:rPr>
        <w:t xml:space="preserve"> </w:t>
      </w:r>
      <w:r w:rsidRPr="004D14C1">
        <w:rPr>
          <w:sz w:val="32"/>
          <w:szCs w:val="32"/>
        </w:rPr>
        <w:t>que es apropiada la apertura de</w:t>
      </w:r>
      <w:r w:rsidR="00E63F13" w:rsidRPr="004D14C1">
        <w:rPr>
          <w:sz w:val="32"/>
          <w:szCs w:val="32"/>
        </w:rPr>
        <w:t xml:space="preserve"> las</w:t>
      </w:r>
      <w:r w:rsidR="00754E7B" w:rsidRPr="004D14C1">
        <w:rPr>
          <w:sz w:val="32"/>
          <w:szCs w:val="32"/>
        </w:rPr>
        <w:t xml:space="preserve"> negociaciones para su ingreso.</w:t>
      </w:r>
    </w:p>
    <w:p w:rsidR="00F4669E" w:rsidRPr="004D14C1" w:rsidRDefault="00F4669E">
      <w:pPr>
        <w:rPr>
          <w:sz w:val="32"/>
          <w:szCs w:val="32"/>
        </w:rPr>
      </w:pPr>
    </w:p>
    <w:p w:rsidR="00A1626D" w:rsidRPr="004D14C1" w:rsidRDefault="00F4669E">
      <w:pPr>
        <w:rPr>
          <w:b/>
          <w:sz w:val="32"/>
          <w:szCs w:val="32"/>
        </w:rPr>
      </w:pPr>
      <w:r w:rsidRPr="004D14C1">
        <w:rPr>
          <w:b/>
          <w:sz w:val="32"/>
          <w:szCs w:val="32"/>
        </w:rPr>
        <w:t>Montenegro obtiene el estatus de país  candidato</w:t>
      </w:r>
      <w:r w:rsidR="00A1626D" w:rsidRPr="004D14C1">
        <w:rPr>
          <w:b/>
          <w:sz w:val="32"/>
          <w:szCs w:val="32"/>
        </w:rPr>
        <w:t xml:space="preserve"> </w:t>
      </w:r>
    </w:p>
    <w:p w:rsidR="00F4669E" w:rsidRPr="004D14C1" w:rsidRDefault="00F4669E">
      <w:pPr>
        <w:rPr>
          <w:b/>
          <w:sz w:val="32"/>
          <w:szCs w:val="32"/>
        </w:rPr>
      </w:pPr>
    </w:p>
    <w:p w:rsidR="00F4669E" w:rsidRPr="004D14C1" w:rsidRDefault="00CA71A3">
      <w:pPr>
        <w:rPr>
          <w:sz w:val="32"/>
          <w:szCs w:val="32"/>
        </w:rPr>
      </w:pPr>
      <w:r w:rsidRPr="004D14C1">
        <w:rPr>
          <w:sz w:val="32"/>
          <w:szCs w:val="32"/>
        </w:rPr>
        <w:t xml:space="preserve">El 17 de diciembre del </w:t>
      </w:r>
      <w:r w:rsidR="00910FC6" w:rsidRPr="004D14C1">
        <w:rPr>
          <w:sz w:val="32"/>
          <w:szCs w:val="32"/>
        </w:rPr>
        <w:t>201</w:t>
      </w:r>
      <w:r w:rsidR="000642A9" w:rsidRPr="004D14C1">
        <w:rPr>
          <w:sz w:val="32"/>
          <w:szCs w:val="32"/>
        </w:rPr>
        <w:t>0 en la</w:t>
      </w:r>
      <w:r w:rsidR="00910FC6" w:rsidRPr="004D14C1">
        <w:rPr>
          <w:sz w:val="32"/>
          <w:szCs w:val="32"/>
        </w:rPr>
        <w:t xml:space="preserve"> Cumbre </w:t>
      </w:r>
      <w:r w:rsidR="00FD2913" w:rsidRPr="004D14C1">
        <w:rPr>
          <w:sz w:val="32"/>
          <w:szCs w:val="32"/>
        </w:rPr>
        <w:t xml:space="preserve">Europea </w:t>
      </w:r>
      <w:r w:rsidR="002E28B8" w:rsidRPr="004D14C1">
        <w:rPr>
          <w:sz w:val="32"/>
          <w:szCs w:val="32"/>
        </w:rPr>
        <w:t xml:space="preserve">se </w:t>
      </w:r>
      <w:r w:rsidR="00FD2913" w:rsidRPr="004D14C1">
        <w:rPr>
          <w:sz w:val="32"/>
          <w:szCs w:val="32"/>
        </w:rPr>
        <w:t>concede el estatus de país candidato a Montenegro.</w:t>
      </w:r>
    </w:p>
    <w:sectPr w:rsidR="00F4669E" w:rsidRPr="004D1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78"/>
    <w:rsid w:val="00000657"/>
    <w:rsid w:val="000028FD"/>
    <w:rsid w:val="0004728C"/>
    <w:rsid w:val="000642A9"/>
    <w:rsid w:val="000969D9"/>
    <w:rsid w:val="000A393E"/>
    <w:rsid w:val="000B1B9B"/>
    <w:rsid w:val="000C0CEB"/>
    <w:rsid w:val="000D17A6"/>
    <w:rsid w:val="00167768"/>
    <w:rsid w:val="00177212"/>
    <w:rsid w:val="001873E8"/>
    <w:rsid w:val="00194B12"/>
    <w:rsid w:val="001D447F"/>
    <w:rsid w:val="001E4278"/>
    <w:rsid w:val="00202847"/>
    <w:rsid w:val="002154DF"/>
    <w:rsid w:val="00216C92"/>
    <w:rsid w:val="0022121F"/>
    <w:rsid w:val="0023398D"/>
    <w:rsid w:val="00250777"/>
    <w:rsid w:val="002549D7"/>
    <w:rsid w:val="0026085E"/>
    <w:rsid w:val="00263FAA"/>
    <w:rsid w:val="00282A71"/>
    <w:rsid w:val="00285E21"/>
    <w:rsid w:val="00291B73"/>
    <w:rsid w:val="002D2C5B"/>
    <w:rsid w:val="002E28B8"/>
    <w:rsid w:val="002F68A5"/>
    <w:rsid w:val="00316FF8"/>
    <w:rsid w:val="00332432"/>
    <w:rsid w:val="00341C60"/>
    <w:rsid w:val="00343A5A"/>
    <w:rsid w:val="00361AAE"/>
    <w:rsid w:val="00363A90"/>
    <w:rsid w:val="003717E6"/>
    <w:rsid w:val="0038298A"/>
    <w:rsid w:val="003C4F32"/>
    <w:rsid w:val="003D2529"/>
    <w:rsid w:val="003D4735"/>
    <w:rsid w:val="003E3A94"/>
    <w:rsid w:val="00413FF6"/>
    <w:rsid w:val="00472FE9"/>
    <w:rsid w:val="00484E95"/>
    <w:rsid w:val="00497C52"/>
    <w:rsid w:val="004A2B34"/>
    <w:rsid w:val="004A64D5"/>
    <w:rsid w:val="004B205B"/>
    <w:rsid w:val="004B4AD9"/>
    <w:rsid w:val="004D14C1"/>
    <w:rsid w:val="004E6CE6"/>
    <w:rsid w:val="004F26DE"/>
    <w:rsid w:val="004F7780"/>
    <w:rsid w:val="0054724D"/>
    <w:rsid w:val="00560C8F"/>
    <w:rsid w:val="00584F9E"/>
    <w:rsid w:val="00591B33"/>
    <w:rsid w:val="00604978"/>
    <w:rsid w:val="00634EEF"/>
    <w:rsid w:val="006353A4"/>
    <w:rsid w:val="006427DC"/>
    <w:rsid w:val="00651648"/>
    <w:rsid w:val="00654BC4"/>
    <w:rsid w:val="006562ED"/>
    <w:rsid w:val="006B3BB2"/>
    <w:rsid w:val="006C770D"/>
    <w:rsid w:val="006E781D"/>
    <w:rsid w:val="006E7DC8"/>
    <w:rsid w:val="006F7810"/>
    <w:rsid w:val="0070054F"/>
    <w:rsid w:val="00710DDF"/>
    <w:rsid w:val="0071794A"/>
    <w:rsid w:val="0072243E"/>
    <w:rsid w:val="00724BCE"/>
    <w:rsid w:val="007322B7"/>
    <w:rsid w:val="0073584F"/>
    <w:rsid w:val="00742EDA"/>
    <w:rsid w:val="00754E7B"/>
    <w:rsid w:val="00762D8E"/>
    <w:rsid w:val="007652C3"/>
    <w:rsid w:val="007667E0"/>
    <w:rsid w:val="00780D7D"/>
    <w:rsid w:val="007A058F"/>
    <w:rsid w:val="007B2F3F"/>
    <w:rsid w:val="007B62CC"/>
    <w:rsid w:val="008939B0"/>
    <w:rsid w:val="00895BCC"/>
    <w:rsid w:val="008B1A55"/>
    <w:rsid w:val="008B46AC"/>
    <w:rsid w:val="008C1C40"/>
    <w:rsid w:val="008D327D"/>
    <w:rsid w:val="008E5F6C"/>
    <w:rsid w:val="00910FC6"/>
    <w:rsid w:val="00972E8E"/>
    <w:rsid w:val="00994DFE"/>
    <w:rsid w:val="009A36DF"/>
    <w:rsid w:val="009A7B07"/>
    <w:rsid w:val="009D3C91"/>
    <w:rsid w:val="00A1626D"/>
    <w:rsid w:val="00A214A1"/>
    <w:rsid w:val="00A25968"/>
    <w:rsid w:val="00A34E51"/>
    <w:rsid w:val="00A76DD3"/>
    <w:rsid w:val="00A76E23"/>
    <w:rsid w:val="00A7711C"/>
    <w:rsid w:val="00A85122"/>
    <w:rsid w:val="00AB0304"/>
    <w:rsid w:val="00AC1C76"/>
    <w:rsid w:val="00AC6549"/>
    <w:rsid w:val="00AF1803"/>
    <w:rsid w:val="00AF472D"/>
    <w:rsid w:val="00B41A0D"/>
    <w:rsid w:val="00B45933"/>
    <w:rsid w:val="00B46658"/>
    <w:rsid w:val="00B81936"/>
    <w:rsid w:val="00B95A46"/>
    <w:rsid w:val="00BC03E2"/>
    <w:rsid w:val="00BD7639"/>
    <w:rsid w:val="00BE6693"/>
    <w:rsid w:val="00BF3952"/>
    <w:rsid w:val="00C00696"/>
    <w:rsid w:val="00C02D14"/>
    <w:rsid w:val="00C2098D"/>
    <w:rsid w:val="00C65B9A"/>
    <w:rsid w:val="00C71209"/>
    <w:rsid w:val="00C81CA6"/>
    <w:rsid w:val="00C90955"/>
    <w:rsid w:val="00CA71A3"/>
    <w:rsid w:val="00CF0A33"/>
    <w:rsid w:val="00D03936"/>
    <w:rsid w:val="00D24102"/>
    <w:rsid w:val="00D635A2"/>
    <w:rsid w:val="00D92AC2"/>
    <w:rsid w:val="00DB0F9B"/>
    <w:rsid w:val="00DE46EF"/>
    <w:rsid w:val="00E075E9"/>
    <w:rsid w:val="00E1197F"/>
    <w:rsid w:val="00E21A4D"/>
    <w:rsid w:val="00E63F13"/>
    <w:rsid w:val="00E81A21"/>
    <w:rsid w:val="00ED0BF4"/>
    <w:rsid w:val="00EE29BA"/>
    <w:rsid w:val="00F04D52"/>
    <w:rsid w:val="00F13137"/>
    <w:rsid w:val="00F4669E"/>
    <w:rsid w:val="00F53F39"/>
    <w:rsid w:val="00F61ED5"/>
    <w:rsid w:val="00F809DF"/>
    <w:rsid w:val="00F84ED8"/>
    <w:rsid w:val="00F92339"/>
    <w:rsid w:val="00F962DA"/>
    <w:rsid w:val="00FA24D7"/>
    <w:rsid w:val="00FD2913"/>
    <w:rsid w:val="00FE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C35B68D"/>
  <w15:chartTrackingRefBased/>
  <w15:docId w15:val="{AF72D275-ED3D-F341-86A8-39D8B13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849</Words>
  <Characters>4670</Characters>
  <Application>Microsoft Office Word</Application>
  <DocSecurity>0</DocSecurity>
  <Lines>38</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june21111@gmail.com</dc:creator>
  <cp:keywords/>
  <dc:description/>
  <cp:lastModifiedBy>june21111@gmail.com</cp:lastModifiedBy>
  <cp:revision>142</cp:revision>
  <dcterms:created xsi:type="dcterms:W3CDTF">2017-08-26T13:33:00Z</dcterms:created>
  <dcterms:modified xsi:type="dcterms:W3CDTF">2017-09-05T19:41:00Z</dcterms:modified>
</cp:coreProperties>
</file>